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июле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>исполнения органами местного самоуправления законодательства о выборах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нарушения. Администрацией Серебряно-Прудского муниципального района московской области было рассмотрено представление от </w:t>
      </w:r>
      <w:r>
        <w:rPr>
          <w:sz w:val="28"/>
          <w:szCs w:val="28"/>
          <w:lang w:val="ru-RU"/>
        </w:rPr>
        <w:t>28.07</w:t>
      </w:r>
      <w:r>
        <w:rPr>
          <w:sz w:val="28"/>
          <w:szCs w:val="28"/>
          <w:lang w:val="ru-RU"/>
        </w:rPr>
        <w:t>.2013 №1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 xml:space="preserve">-2013 об устранении нарушений законодательства </w:t>
      </w:r>
      <w:r>
        <w:rPr>
          <w:sz w:val="28"/>
          <w:szCs w:val="28"/>
          <w:lang w:val="ru-RU"/>
        </w:rPr>
        <w:t>о выборах</w:t>
      </w:r>
      <w:r>
        <w:rPr>
          <w:sz w:val="28"/>
          <w:szCs w:val="28"/>
          <w:lang w:val="ru-RU"/>
        </w:rPr>
        <w:t>,с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